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21B9" w14:textId="77777777" w:rsidR="00B001B4" w:rsidRDefault="00B001B4" w:rsidP="00B001B4">
      <w:pPr>
        <w:pStyle w:val="Default"/>
      </w:pPr>
    </w:p>
    <w:p w14:paraId="1F337D9E" w14:textId="77777777" w:rsidR="00B001B4" w:rsidRDefault="00B001B4" w:rsidP="00B001B4">
      <w:pPr>
        <w:pStyle w:val="Default"/>
        <w:rPr>
          <w:sz w:val="20"/>
          <w:szCs w:val="20"/>
        </w:rPr>
      </w:pPr>
      <w:r>
        <w:t xml:space="preserve"> </w:t>
      </w:r>
      <w:r>
        <w:rPr>
          <w:b/>
          <w:bCs/>
          <w:sz w:val="20"/>
          <w:szCs w:val="20"/>
        </w:rPr>
        <w:t xml:space="preserve">Visio « litholamellage » du 4 Octobre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8"/>
        <w:gridCol w:w="1609"/>
        <w:gridCol w:w="1609"/>
        <w:gridCol w:w="3218"/>
      </w:tblGrid>
      <w:tr w:rsidR="00B001B4" w14:paraId="2152C7B9" w14:textId="77777777">
        <w:tblPrEx>
          <w:tblCellMar>
            <w:top w:w="0" w:type="dxa"/>
            <w:bottom w:w="0" w:type="dxa"/>
          </w:tblCellMar>
        </w:tblPrEx>
        <w:trPr>
          <w:trHeight w:val="252"/>
        </w:trPr>
        <w:tc>
          <w:tcPr>
            <w:tcW w:w="3218" w:type="dxa"/>
          </w:tcPr>
          <w:p w14:paraId="1566CDD9" w14:textId="77777777" w:rsidR="00B001B4" w:rsidRDefault="00B001B4">
            <w:pPr>
              <w:pStyle w:val="Default"/>
              <w:rPr>
                <w:sz w:val="20"/>
                <w:szCs w:val="20"/>
              </w:rPr>
            </w:pPr>
            <w:r>
              <w:rPr>
                <w:b/>
                <w:bCs/>
                <w:sz w:val="20"/>
                <w:szCs w:val="20"/>
              </w:rPr>
              <w:t xml:space="preserve">Etaient présents : </w:t>
            </w:r>
            <w:r>
              <w:rPr>
                <w:sz w:val="20"/>
                <w:szCs w:val="20"/>
              </w:rPr>
              <w:t xml:space="preserve">CNRS </w:t>
            </w:r>
          </w:p>
        </w:tc>
        <w:tc>
          <w:tcPr>
            <w:tcW w:w="3218" w:type="dxa"/>
            <w:gridSpan w:val="2"/>
          </w:tcPr>
          <w:p w14:paraId="23F3C132" w14:textId="77777777" w:rsidR="00B001B4" w:rsidRDefault="00B001B4">
            <w:pPr>
              <w:pStyle w:val="Default"/>
              <w:rPr>
                <w:sz w:val="20"/>
                <w:szCs w:val="20"/>
              </w:rPr>
            </w:pPr>
            <w:r>
              <w:rPr>
                <w:b/>
                <w:bCs/>
                <w:sz w:val="20"/>
                <w:szCs w:val="20"/>
              </w:rPr>
              <w:t xml:space="preserve">Céline BATAILLON </w:t>
            </w:r>
          </w:p>
        </w:tc>
        <w:tc>
          <w:tcPr>
            <w:tcW w:w="3218" w:type="dxa"/>
          </w:tcPr>
          <w:p w14:paraId="594759F4" w14:textId="77777777" w:rsidR="00B001B4" w:rsidRDefault="00B001B4">
            <w:pPr>
              <w:pStyle w:val="Default"/>
              <w:rPr>
                <w:sz w:val="20"/>
                <w:szCs w:val="20"/>
              </w:rPr>
            </w:pPr>
            <w:r>
              <w:rPr>
                <w:sz w:val="20"/>
                <w:szCs w:val="20"/>
              </w:rPr>
              <w:t xml:space="preserve">Coordinatrice Nationale adjointe de Prévention et de Sécurité (CNPS) </w:t>
            </w:r>
          </w:p>
        </w:tc>
      </w:tr>
      <w:tr w:rsidR="00B001B4" w14:paraId="238E8762" w14:textId="77777777">
        <w:tblPrEx>
          <w:tblCellMar>
            <w:top w:w="0" w:type="dxa"/>
            <w:bottom w:w="0" w:type="dxa"/>
          </w:tblCellMar>
        </w:tblPrEx>
        <w:trPr>
          <w:trHeight w:val="142"/>
        </w:trPr>
        <w:tc>
          <w:tcPr>
            <w:tcW w:w="4827" w:type="dxa"/>
            <w:gridSpan w:val="2"/>
          </w:tcPr>
          <w:p w14:paraId="7FC4D520" w14:textId="77777777" w:rsidR="00B001B4" w:rsidRDefault="00B001B4">
            <w:pPr>
              <w:pStyle w:val="Default"/>
              <w:rPr>
                <w:sz w:val="20"/>
                <w:szCs w:val="20"/>
              </w:rPr>
            </w:pPr>
            <w:r>
              <w:rPr>
                <w:b/>
                <w:bCs/>
                <w:sz w:val="20"/>
                <w:szCs w:val="20"/>
              </w:rPr>
              <w:t xml:space="preserve">Thierry LABASQUE </w:t>
            </w:r>
          </w:p>
        </w:tc>
        <w:tc>
          <w:tcPr>
            <w:tcW w:w="4827" w:type="dxa"/>
            <w:gridSpan w:val="2"/>
          </w:tcPr>
          <w:p w14:paraId="3D31336C" w14:textId="77777777" w:rsidR="00B001B4" w:rsidRDefault="00B001B4">
            <w:pPr>
              <w:pStyle w:val="Default"/>
              <w:rPr>
                <w:sz w:val="20"/>
                <w:szCs w:val="20"/>
              </w:rPr>
            </w:pPr>
            <w:r>
              <w:rPr>
                <w:sz w:val="20"/>
                <w:szCs w:val="20"/>
              </w:rPr>
              <w:t xml:space="preserve">Directeur Adjoint Technique INSU </w:t>
            </w:r>
          </w:p>
        </w:tc>
      </w:tr>
      <w:tr w:rsidR="00B001B4" w14:paraId="0D998C74" w14:textId="77777777">
        <w:tblPrEx>
          <w:tblCellMar>
            <w:top w:w="0" w:type="dxa"/>
            <w:bottom w:w="0" w:type="dxa"/>
          </w:tblCellMar>
        </w:tblPrEx>
        <w:trPr>
          <w:trHeight w:val="252"/>
        </w:trPr>
        <w:tc>
          <w:tcPr>
            <w:tcW w:w="4827" w:type="dxa"/>
            <w:gridSpan w:val="2"/>
          </w:tcPr>
          <w:p w14:paraId="2DEC8994" w14:textId="77777777" w:rsidR="00B001B4" w:rsidRDefault="00B001B4">
            <w:pPr>
              <w:pStyle w:val="Default"/>
              <w:rPr>
                <w:sz w:val="20"/>
                <w:szCs w:val="20"/>
              </w:rPr>
            </w:pPr>
            <w:r>
              <w:rPr>
                <w:b/>
                <w:bCs/>
                <w:sz w:val="20"/>
                <w:szCs w:val="20"/>
              </w:rPr>
              <w:t xml:space="preserve">Ludovic TESSIER </w:t>
            </w:r>
          </w:p>
        </w:tc>
        <w:tc>
          <w:tcPr>
            <w:tcW w:w="4827" w:type="dxa"/>
            <w:gridSpan w:val="2"/>
          </w:tcPr>
          <w:p w14:paraId="6666B779" w14:textId="77777777" w:rsidR="00B001B4" w:rsidRDefault="00B001B4">
            <w:pPr>
              <w:pStyle w:val="Default"/>
              <w:rPr>
                <w:sz w:val="20"/>
                <w:szCs w:val="20"/>
              </w:rPr>
            </w:pPr>
            <w:r>
              <w:rPr>
                <w:sz w:val="20"/>
                <w:szCs w:val="20"/>
              </w:rPr>
              <w:t xml:space="preserve">Ingénieur Régional de Prévention et de Sécurité DR17 Bretagne et Pays de Loire </w:t>
            </w:r>
          </w:p>
        </w:tc>
      </w:tr>
      <w:tr w:rsidR="00B001B4" w14:paraId="6DC927B2" w14:textId="77777777">
        <w:tblPrEx>
          <w:tblCellMar>
            <w:top w:w="0" w:type="dxa"/>
            <w:bottom w:w="0" w:type="dxa"/>
          </w:tblCellMar>
        </w:tblPrEx>
        <w:trPr>
          <w:trHeight w:val="252"/>
        </w:trPr>
        <w:tc>
          <w:tcPr>
            <w:tcW w:w="3218" w:type="dxa"/>
          </w:tcPr>
          <w:p w14:paraId="56ADFC68" w14:textId="77777777" w:rsidR="00B001B4" w:rsidRDefault="00B001B4">
            <w:pPr>
              <w:pStyle w:val="Default"/>
              <w:rPr>
                <w:sz w:val="20"/>
                <w:szCs w:val="20"/>
              </w:rPr>
            </w:pPr>
            <w:r>
              <w:rPr>
                <w:sz w:val="20"/>
                <w:szCs w:val="20"/>
              </w:rPr>
              <w:t xml:space="preserve">Géo-Océan </w:t>
            </w:r>
          </w:p>
          <w:p w14:paraId="6BB8F972" w14:textId="77777777" w:rsidR="00B001B4" w:rsidRDefault="00B001B4">
            <w:pPr>
              <w:pStyle w:val="Default"/>
              <w:rPr>
                <w:sz w:val="20"/>
                <w:szCs w:val="20"/>
              </w:rPr>
            </w:pPr>
            <w:r>
              <w:rPr>
                <w:sz w:val="20"/>
                <w:szCs w:val="20"/>
              </w:rPr>
              <w:t xml:space="preserve">Brest </w:t>
            </w:r>
          </w:p>
        </w:tc>
        <w:tc>
          <w:tcPr>
            <w:tcW w:w="3218" w:type="dxa"/>
            <w:gridSpan w:val="2"/>
          </w:tcPr>
          <w:p w14:paraId="3246782F" w14:textId="77777777" w:rsidR="00B001B4" w:rsidRDefault="00B001B4">
            <w:pPr>
              <w:pStyle w:val="Default"/>
              <w:rPr>
                <w:sz w:val="20"/>
                <w:szCs w:val="20"/>
              </w:rPr>
            </w:pPr>
            <w:r>
              <w:rPr>
                <w:b/>
                <w:bCs/>
                <w:sz w:val="20"/>
                <w:szCs w:val="20"/>
              </w:rPr>
              <w:t xml:space="preserve">Jean-Pierre OLDRA </w:t>
            </w:r>
          </w:p>
        </w:tc>
        <w:tc>
          <w:tcPr>
            <w:tcW w:w="3218" w:type="dxa"/>
          </w:tcPr>
          <w:p w14:paraId="547D80F5" w14:textId="77777777" w:rsidR="00B001B4" w:rsidRDefault="00B001B4">
            <w:pPr>
              <w:pStyle w:val="Default"/>
              <w:rPr>
                <w:sz w:val="20"/>
                <w:szCs w:val="20"/>
              </w:rPr>
            </w:pPr>
            <w:r>
              <w:rPr>
                <w:sz w:val="20"/>
                <w:szCs w:val="20"/>
              </w:rPr>
              <w:t xml:space="preserve">Lithopréparateur </w:t>
            </w:r>
          </w:p>
        </w:tc>
      </w:tr>
      <w:tr w:rsidR="00B001B4" w14:paraId="4228F87A" w14:textId="77777777">
        <w:tblPrEx>
          <w:tblCellMar>
            <w:top w:w="0" w:type="dxa"/>
            <w:bottom w:w="0" w:type="dxa"/>
          </w:tblCellMar>
        </w:tblPrEx>
        <w:trPr>
          <w:trHeight w:val="252"/>
        </w:trPr>
        <w:tc>
          <w:tcPr>
            <w:tcW w:w="3218" w:type="dxa"/>
          </w:tcPr>
          <w:p w14:paraId="5904B8B2" w14:textId="77777777" w:rsidR="00B001B4" w:rsidRDefault="00B001B4">
            <w:pPr>
              <w:pStyle w:val="Default"/>
              <w:rPr>
                <w:sz w:val="20"/>
                <w:szCs w:val="20"/>
              </w:rPr>
            </w:pPr>
            <w:proofErr w:type="spellStart"/>
            <w:r>
              <w:rPr>
                <w:sz w:val="20"/>
                <w:szCs w:val="20"/>
              </w:rPr>
              <w:t>GéoSciences</w:t>
            </w:r>
            <w:proofErr w:type="spellEnd"/>
            <w:r>
              <w:rPr>
                <w:sz w:val="20"/>
                <w:szCs w:val="20"/>
              </w:rPr>
              <w:t xml:space="preserve"> Montpellier </w:t>
            </w:r>
          </w:p>
        </w:tc>
        <w:tc>
          <w:tcPr>
            <w:tcW w:w="3218" w:type="dxa"/>
            <w:gridSpan w:val="2"/>
          </w:tcPr>
          <w:p w14:paraId="252E6732" w14:textId="77777777" w:rsidR="00B001B4" w:rsidRDefault="00B001B4">
            <w:pPr>
              <w:pStyle w:val="Default"/>
              <w:rPr>
                <w:sz w:val="20"/>
                <w:szCs w:val="20"/>
              </w:rPr>
            </w:pPr>
            <w:r>
              <w:rPr>
                <w:b/>
                <w:bCs/>
                <w:sz w:val="20"/>
                <w:szCs w:val="20"/>
              </w:rPr>
              <w:t xml:space="preserve">Christophe NEVADO </w:t>
            </w:r>
          </w:p>
        </w:tc>
        <w:tc>
          <w:tcPr>
            <w:tcW w:w="3218" w:type="dxa"/>
          </w:tcPr>
          <w:p w14:paraId="0039BD8A" w14:textId="77777777" w:rsidR="00B001B4" w:rsidRDefault="00B001B4">
            <w:pPr>
              <w:pStyle w:val="Default"/>
              <w:rPr>
                <w:sz w:val="20"/>
                <w:szCs w:val="20"/>
              </w:rPr>
            </w:pPr>
            <w:proofErr w:type="gramStart"/>
            <w:r>
              <w:rPr>
                <w:sz w:val="20"/>
                <w:szCs w:val="20"/>
              </w:rPr>
              <w:t>litho</w:t>
            </w:r>
            <w:proofErr w:type="gramEnd"/>
            <w:r>
              <w:rPr>
                <w:sz w:val="20"/>
                <w:szCs w:val="20"/>
              </w:rPr>
              <w:t xml:space="preserve"> préparateur, membre du COPIL des litho préparateurs de France (LPF) </w:t>
            </w:r>
          </w:p>
        </w:tc>
      </w:tr>
      <w:tr w:rsidR="00B001B4" w14:paraId="1BBE3F00" w14:textId="77777777">
        <w:tblPrEx>
          <w:tblCellMar>
            <w:top w:w="0" w:type="dxa"/>
            <w:bottom w:w="0" w:type="dxa"/>
          </w:tblCellMar>
        </w:tblPrEx>
        <w:trPr>
          <w:trHeight w:val="252"/>
        </w:trPr>
        <w:tc>
          <w:tcPr>
            <w:tcW w:w="3218" w:type="dxa"/>
          </w:tcPr>
          <w:p w14:paraId="38D133A5" w14:textId="77777777" w:rsidR="00B001B4" w:rsidRDefault="00B001B4">
            <w:pPr>
              <w:pStyle w:val="Default"/>
              <w:rPr>
                <w:sz w:val="20"/>
                <w:szCs w:val="20"/>
              </w:rPr>
            </w:pPr>
            <w:r>
              <w:rPr>
                <w:sz w:val="20"/>
                <w:szCs w:val="20"/>
              </w:rPr>
              <w:t xml:space="preserve">Géosciences </w:t>
            </w:r>
          </w:p>
          <w:p w14:paraId="4CB70234" w14:textId="77777777" w:rsidR="00B001B4" w:rsidRDefault="00B001B4">
            <w:pPr>
              <w:pStyle w:val="Default"/>
              <w:rPr>
                <w:sz w:val="20"/>
                <w:szCs w:val="20"/>
              </w:rPr>
            </w:pPr>
            <w:r>
              <w:rPr>
                <w:sz w:val="20"/>
                <w:szCs w:val="20"/>
              </w:rPr>
              <w:t xml:space="preserve">Rennes </w:t>
            </w:r>
          </w:p>
        </w:tc>
        <w:tc>
          <w:tcPr>
            <w:tcW w:w="3218" w:type="dxa"/>
            <w:gridSpan w:val="2"/>
          </w:tcPr>
          <w:p w14:paraId="23DC66C0" w14:textId="77777777" w:rsidR="00B001B4" w:rsidRDefault="00B001B4">
            <w:pPr>
              <w:pStyle w:val="Default"/>
              <w:rPr>
                <w:sz w:val="20"/>
                <w:szCs w:val="20"/>
              </w:rPr>
            </w:pPr>
            <w:r>
              <w:rPr>
                <w:b/>
                <w:bCs/>
                <w:sz w:val="20"/>
                <w:szCs w:val="20"/>
              </w:rPr>
              <w:t xml:space="preserve">Xavier LE COZ </w:t>
            </w:r>
          </w:p>
        </w:tc>
        <w:tc>
          <w:tcPr>
            <w:tcW w:w="3218" w:type="dxa"/>
          </w:tcPr>
          <w:p w14:paraId="595E8FC4" w14:textId="77777777" w:rsidR="00B001B4" w:rsidRDefault="00B001B4">
            <w:pPr>
              <w:pStyle w:val="Default"/>
              <w:rPr>
                <w:sz w:val="20"/>
                <w:szCs w:val="20"/>
              </w:rPr>
            </w:pPr>
            <w:r>
              <w:rPr>
                <w:sz w:val="20"/>
                <w:szCs w:val="20"/>
              </w:rPr>
              <w:t xml:space="preserve">Litho préparateur, membre du COPIL des litho préparateurs de France (LPF) </w:t>
            </w:r>
          </w:p>
        </w:tc>
      </w:tr>
      <w:tr w:rsidR="00B001B4" w14:paraId="662948C6" w14:textId="77777777">
        <w:tblPrEx>
          <w:tblCellMar>
            <w:top w:w="0" w:type="dxa"/>
            <w:bottom w:w="0" w:type="dxa"/>
          </w:tblCellMar>
        </w:tblPrEx>
        <w:trPr>
          <w:trHeight w:val="252"/>
        </w:trPr>
        <w:tc>
          <w:tcPr>
            <w:tcW w:w="3218" w:type="dxa"/>
          </w:tcPr>
          <w:p w14:paraId="6C83B2F2" w14:textId="77777777" w:rsidR="00B001B4" w:rsidRDefault="00B001B4">
            <w:pPr>
              <w:pStyle w:val="Default"/>
              <w:rPr>
                <w:sz w:val="20"/>
                <w:szCs w:val="20"/>
              </w:rPr>
            </w:pPr>
            <w:r>
              <w:rPr>
                <w:sz w:val="20"/>
                <w:szCs w:val="20"/>
              </w:rPr>
              <w:t xml:space="preserve">IFREMER </w:t>
            </w:r>
          </w:p>
        </w:tc>
        <w:tc>
          <w:tcPr>
            <w:tcW w:w="3218" w:type="dxa"/>
            <w:gridSpan w:val="2"/>
          </w:tcPr>
          <w:p w14:paraId="1374E6DA" w14:textId="77777777" w:rsidR="00B001B4" w:rsidRDefault="00B001B4">
            <w:pPr>
              <w:pStyle w:val="Default"/>
              <w:rPr>
                <w:sz w:val="20"/>
                <w:szCs w:val="20"/>
              </w:rPr>
            </w:pPr>
            <w:r>
              <w:rPr>
                <w:b/>
                <w:bCs/>
                <w:sz w:val="20"/>
                <w:szCs w:val="20"/>
              </w:rPr>
              <w:t xml:space="preserve">Steve BERTHO </w:t>
            </w:r>
          </w:p>
        </w:tc>
        <w:tc>
          <w:tcPr>
            <w:tcW w:w="3218" w:type="dxa"/>
          </w:tcPr>
          <w:p w14:paraId="06C8F345" w14:textId="77777777" w:rsidR="00B001B4" w:rsidRDefault="00B001B4">
            <w:pPr>
              <w:pStyle w:val="Default"/>
              <w:rPr>
                <w:sz w:val="20"/>
                <w:szCs w:val="20"/>
              </w:rPr>
            </w:pPr>
            <w:r>
              <w:rPr>
                <w:sz w:val="20"/>
                <w:szCs w:val="20"/>
              </w:rPr>
              <w:t xml:space="preserve">Responsable Service Conditions de travail et Prévention des Risques Professionnels </w:t>
            </w:r>
          </w:p>
        </w:tc>
      </w:tr>
      <w:tr w:rsidR="00B001B4" w14:paraId="5460C397" w14:textId="77777777">
        <w:tblPrEx>
          <w:tblCellMar>
            <w:top w:w="0" w:type="dxa"/>
            <w:bottom w:w="0" w:type="dxa"/>
          </w:tblCellMar>
        </w:tblPrEx>
        <w:trPr>
          <w:trHeight w:val="142"/>
        </w:trPr>
        <w:tc>
          <w:tcPr>
            <w:tcW w:w="4827" w:type="dxa"/>
            <w:gridSpan w:val="2"/>
          </w:tcPr>
          <w:p w14:paraId="58D9C24C" w14:textId="77777777" w:rsidR="00B001B4" w:rsidRDefault="00B001B4">
            <w:pPr>
              <w:pStyle w:val="Default"/>
              <w:rPr>
                <w:sz w:val="20"/>
                <w:szCs w:val="20"/>
              </w:rPr>
            </w:pPr>
            <w:r>
              <w:rPr>
                <w:b/>
                <w:bCs/>
                <w:sz w:val="20"/>
                <w:szCs w:val="20"/>
              </w:rPr>
              <w:t xml:space="preserve">Mathieu ROSPABE </w:t>
            </w:r>
          </w:p>
        </w:tc>
        <w:tc>
          <w:tcPr>
            <w:tcW w:w="4827" w:type="dxa"/>
            <w:gridSpan w:val="2"/>
          </w:tcPr>
          <w:p w14:paraId="34FFCCCE" w14:textId="77777777" w:rsidR="00B001B4" w:rsidRDefault="00B001B4">
            <w:pPr>
              <w:pStyle w:val="Default"/>
              <w:rPr>
                <w:sz w:val="20"/>
                <w:szCs w:val="20"/>
              </w:rPr>
            </w:pPr>
            <w:r>
              <w:rPr>
                <w:sz w:val="20"/>
                <w:szCs w:val="20"/>
              </w:rPr>
              <w:t xml:space="preserve">Chercheur Géologue </w:t>
            </w:r>
          </w:p>
        </w:tc>
      </w:tr>
      <w:tr w:rsidR="00B001B4" w14:paraId="35D3BACE" w14:textId="77777777">
        <w:tblPrEx>
          <w:tblCellMar>
            <w:top w:w="0" w:type="dxa"/>
            <w:bottom w:w="0" w:type="dxa"/>
          </w:tblCellMar>
        </w:tblPrEx>
        <w:trPr>
          <w:trHeight w:val="142"/>
        </w:trPr>
        <w:tc>
          <w:tcPr>
            <w:tcW w:w="3218" w:type="dxa"/>
          </w:tcPr>
          <w:p w14:paraId="1F3C6002" w14:textId="77777777" w:rsidR="00B001B4" w:rsidRDefault="00B001B4">
            <w:pPr>
              <w:pStyle w:val="Default"/>
              <w:rPr>
                <w:sz w:val="20"/>
                <w:szCs w:val="20"/>
              </w:rPr>
            </w:pPr>
            <w:r>
              <w:rPr>
                <w:sz w:val="20"/>
                <w:szCs w:val="20"/>
              </w:rPr>
              <w:t xml:space="preserve">IPGP </w:t>
            </w:r>
          </w:p>
        </w:tc>
        <w:tc>
          <w:tcPr>
            <w:tcW w:w="3218" w:type="dxa"/>
            <w:gridSpan w:val="2"/>
          </w:tcPr>
          <w:p w14:paraId="6A3BF2A2" w14:textId="77777777" w:rsidR="00B001B4" w:rsidRDefault="00B001B4">
            <w:pPr>
              <w:pStyle w:val="Default"/>
              <w:rPr>
                <w:sz w:val="20"/>
                <w:szCs w:val="20"/>
              </w:rPr>
            </w:pPr>
            <w:r>
              <w:rPr>
                <w:b/>
                <w:bCs/>
                <w:sz w:val="20"/>
                <w:szCs w:val="20"/>
              </w:rPr>
              <w:t xml:space="preserve">Cécile PRIGENT </w:t>
            </w:r>
          </w:p>
        </w:tc>
        <w:tc>
          <w:tcPr>
            <w:tcW w:w="3218" w:type="dxa"/>
          </w:tcPr>
          <w:p w14:paraId="18D81CC0" w14:textId="77777777" w:rsidR="00B001B4" w:rsidRDefault="00B001B4">
            <w:pPr>
              <w:pStyle w:val="Default"/>
              <w:rPr>
                <w:sz w:val="20"/>
                <w:szCs w:val="20"/>
              </w:rPr>
            </w:pPr>
            <w:r>
              <w:rPr>
                <w:sz w:val="20"/>
                <w:szCs w:val="20"/>
              </w:rPr>
              <w:t xml:space="preserve">Maître de conférences en charge de la lithothèque </w:t>
            </w:r>
          </w:p>
        </w:tc>
      </w:tr>
      <w:tr w:rsidR="00B001B4" w14:paraId="62CAD351" w14:textId="77777777">
        <w:tblPrEx>
          <w:tblCellMar>
            <w:top w:w="0" w:type="dxa"/>
            <w:bottom w:w="0" w:type="dxa"/>
          </w:tblCellMar>
        </w:tblPrEx>
        <w:trPr>
          <w:trHeight w:val="142"/>
        </w:trPr>
        <w:tc>
          <w:tcPr>
            <w:tcW w:w="3218" w:type="dxa"/>
          </w:tcPr>
          <w:p w14:paraId="16B24E80" w14:textId="77777777" w:rsidR="00B001B4" w:rsidRDefault="00B001B4">
            <w:pPr>
              <w:pStyle w:val="Default"/>
              <w:rPr>
                <w:sz w:val="20"/>
                <w:szCs w:val="20"/>
              </w:rPr>
            </w:pPr>
            <w:r>
              <w:rPr>
                <w:sz w:val="20"/>
                <w:szCs w:val="20"/>
              </w:rPr>
              <w:t xml:space="preserve">UBO </w:t>
            </w:r>
          </w:p>
        </w:tc>
        <w:tc>
          <w:tcPr>
            <w:tcW w:w="3218" w:type="dxa"/>
            <w:gridSpan w:val="2"/>
          </w:tcPr>
          <w:p w14:paraId="517A39EC" w14:textId="77777777" w:rsidR="00B001B4" w:rsidRDefault="00B001B4">
            <w:pPr>
              <w:pStyle w:val="Default"/>
              <w:rPr>
                <w:sz w:val="20"/>
                <w:szCs w:val="20"/>
              </w:rPr>
            </w:pPr>
            <w:r>
              <w:rPr>
                <w:b/>
                <w:bCs/>
                <w:sz w:val="20"/>
                <w:szCs w:val="20"/>
              </w:rPr>
              <w:t xml:space="preserve">Marielle BOUCHER </w:t>
            </w:r>
          </w:p>
        </w:tc>
        <w:tc>
          <w:tcPr>
            <w:tcW w:w="3218" w:type="dxa"/>
          </w:tcPr>
          <w:p w14:paraId="590D0021" w14:textId="77777777" w:rsidR="00B001B4" w:rsidRDefault="00B001B4">
            <w:pPr>
              <w:pStyle w:val="Default"/>
              <w:rPr>
                <w:sz w:val="20"/>
                <w:szCs w:val="20"/>
              </w:rPr>
            </w:pPr>
            <w:r>
              <w:rPr>
                <w:sz w:val="20"/>
                <w:szCs w:val="20"/>
              </w:rPr>
              <w:t xml:space="preserve">Conseillère de prévention </w:t>
            </w:r>
          </w:p>
        </w:tc>
      </w:tr>
      <w:tr w:rsidR="00B001B4" w14:paraId="3B3B23AD" w14:textId="77777777">
        <w:tblPrEx>
          <w:tblCellMar>
            <w:top w:w="0" w:type="dxa"/>
            <w:bottom w:w="0" w:type="dxa"/>
          </w:tblCellMar>
        </w:tblPrEx>
        <w:trPr>
          <w:trHeight w:val="252"/>
        </w:trPr>
        <w:tc>
          <w:tcPr>
            <w:tcW w:w="3218" w:type="dxa"/>
          </w:tcPr>
          <w:p w14:paraId="1A19C8C2" w14:textId="77777777" w:rsidR="00B001B4" w:rsidRDefault="00B001B4">
            <w:pPr>
              <w:pStyle w:val="Default"/>
              <w:rPr>
                <w:sz w:val="20"/>
                <w:szCs w:val="20"/>
              </w:rPr>
            </w:pPr>
            <w:r>
              <w:rPr>
                <w:sz w:val="20"/>
                <w:szCs w:val="20"/>
              </w:rPr>
              <w:t xml:space="preserve">Université de Montpellier </w:t>
            </w:r>
          </w:p>
        </w:tc>
        <w:tc>
          <w:tcPr>
            <w:tcW w:w="3218" w:type="dxa"/>
            <w:gridSpan w:val="2"/>
          </w:tcPr>
          <w:p w14:paraId="6A377764" w14:textId="77777777" w:rsidR="00B001B4" w:rsidRDefault="00B001B4">
            <w:pPr>
              <w:pStyle w:val="Default"/>
              <w:rPr>
                <w:sz w:val="20"/>
                <w:szCs w:val="20"/>
              </w:rPr>
            </w:pPr>
            <w:r>
              <w:rPr>
                <w:b/>
                <w:bCs/>
                <w:sz w:val="20"/>
                <w:szCs w:val="20"/>
              </w:rPr>
              <w:t xml:space="preserve">Ludivine RUGANI </w:t>
            </w:r>
          </w:p>
        </w:tc>
        <w:tc>
          <w:tcPr>
            <w:tcW w:w="3218" w:type="dxa"/>
          </w:tcPr>
          <w:p w14:paraId="6CEC2B04" w14:textId="77777777" w:rsidR="00B001B4" w:rsidRDefault="00B001B4">
            <w:pPr>
              <w:pStyle w:val="Default"/>
              <w:rPr>
                <w:sz w:val="20"/>
                <w:szCs w:val="20"/>
              </w:rPr>
            </w:pPr>
            <w:r>
              <w:rPr>
                <w:sz w:val="20"/>
                <w:szCs w:val="20"/>
              </w:rPr>
              <w:t xml:space="preserve">Conseillère de prévention </w:t>
            </w:r>
          </w:p>
        </w:tc>
      </w:tr>
      <w:tr w:rsidR="00B001B4" w14:paraId="3BD9E8BD" w14:textId="77777777">
        <w:tblPrEx>
          <w:tblCellMar>
            <w:top w:w="0" w:type="dxa"/>
            <w:bottom w:w="0" w:type="dxa"/>
          </w:tblCellMar>
        </w:tblPrEx>
        <w:trPr>
          <w:trHeight w:val="142"/>
        </w:trPr>
        <w:tc>
          <w:tcPr>
            <w:tcW w:w="3218" w:type="dxa"/>
          </w:tcPr>
          <w:p w14:paraId="66D47AFD" w14:textId="77777777" w:rsidR="00B001B4" w:rsidRDefault="00B001B4">
            <w:pPr>
              <w:pStyle w:val="Default"/>
              <w:rPr>
                <w:sz w:val="20"/>
                <w:szCs w:val="20"/>
              </w:rPr>
            </w:pPr>
            <w:r>
              <w:rPr>
                <w:sz w:val="20"/>
                <w:szCs w:val="20"/>
              </w:rPr>
              <w:t xml:space="preserve">BRGM </w:t>
            </w:r>
          </w:p>
        </w:tc>
        <w:tc>
          <w:tcPr>
            <w:tcW w:w="3218" w:type="dxa"/>
            <w:gridSpan w:val="2"/>
          </w:tcPr>
          <w:p w14:paraId="007F1F45" w14:textId="77777777" w:rsidR="00B001B4" w:rsidRDefault="00B001B4">
            <w:pPr>
              <w:pStyle w:val="Default"/>
              <w:rPr>
                <w:sz w:val="20"/>
                <w:szCs w:val="20"/>
              </w:rPr>
            </w:pPr>
            <w:r>
              <w:rPr>
                <w:b/>
                <w:bCs/>
                <w:sz w:val="20"/>
                <w:szCs w:val="20"/>
              </w:rPr>
              <w:t xml:space="preserve">Guillaume WILLE </w:t>
            </w:r>
          </w:p>
        </w:tc>
        <w:tc>
          <w:tcPr>
            <w:tcW w:w="3218" w:type="dxa"/>
          </w:tcPr>
          <w:p w14:paraId="27DF4800" w14:textId="77777777" w:rsidR="00B001B4" w:rsidRDefault="00B001B4">
            <w:pPr>
              <w:pStyle w:val="Default"/>
              <w:rPr>
                <w:sz w:val="20"/>
                <w:szCs w:val="20"/>
              </w:rPr>
            </w:pPr>
            <w:r>
              <w:rPr>
                <w:sz w:val="20"/>
                <w:szCs w:val="20"/>
              </w:rPr>
              <w:t xml:space="preserve">Géologue Expert – </w:t>
            </w:r>
            <w:proofErr w:type="spellStart"/>
            <w:r>
              <w:rPr>
                <w:sz w:val="20"/>
                <w:szCs w:val="20"/>
              </w:rPr>
              <w:t>microcaractérisation</w:t>
            </w:r>
            <w:proofErr w:type="spellEnd"/>
            <w:r>
              <w:rPr>
                <w:sz w:val="20"/>
                <w:szCs w:val="20"/>
              </w:rPr>
              <w:t xml:space="preserve"> des </w:t>
            </w:r>
            <w:proofErr w:type="spellStart"/>
            <w:r>
              <w:rPr>
                <w:sz w:val="20"/>
                <w:szCs w:val="20"/>
              </w:rPr>
              <w:t>géomatériaux</w:t>
            </w:r>
            <w:proofErr w:type="spellEnd"/>
          </w:p>
        </w:tc>
      </w:tr>
    </w:tbl>
    <w:p w14:paraId="1B6FCF4E" w14:textId="1A4E2433" w:rsidR="00E85C7E" w:rsidRDefault="00E85C7E"/>
    <w:p w14:paraId="42CF86C1" w14:textId="2E7165DE" w:rsidR="00B001B4" w:rsidRDefault="00B001B4"/>
    <w:p w14:paraId="4F5DC1A0" w14:textId="5AD9F802" w:rsidR="00B001B4" w:rsidRDefault="00B001B4"/>
    <w:p w14:paraId="770C393E" w14:textId="2AFCFB88" w:rsidR="00B001B4" w:rsidRDefault="00B001B4"/>
    <w:p w14:paraId="464A5B8F" w14:textId="2DA75DE8" w:rsidR="00B001B4" w:rsidRDefault="00B001B4"/>
    <w:p w14:paraId="08CA68C6" w14:textId="58221F16" w:rsidR="00B001B4" w:rsidRDefault="00B001B4"/>
    <w:p w14:paraId="300F80CF" w14:textId="5DCD5BAA" w:rsidR="00B001B4" w:rsidRDefault="00B001B4"/>
    <w:p w14:paraId="2A427A20" w14:textId="5353F0A5" w:rsidR="00B001B4" w:rsidRDefault="00B001B4"/>
    <w:p w14:paraId="5643CDAC" w14:textId="02361043" w:rsidR="00B001B4" w:rsidRDefault="00B001B4"/>
    <w:p w14:paraId="6F1A8678" w14:textId="67A5A946" w:rsidR="00B001B4" w:rsidRDefault="00B001B4"/>
    <w:p w14:paraId="595BC0C3" w14:textId="2FFEECFB" w:rsidR="00B001B4" w:rsidRDefault="00B001B4"/>
    <w:p w14:paraId="61D6217D" w14:textId="6ECF9D1C" w:rsidR="00B001B4" w:rsidRDefault="00B001B4"/>
    <w:p w14:paraId="2DCB402C" w14:textId="69699B58" w:rsidR="00B001B4" w:rsidRDefault="00B001B4"/>
    <w:p w14:paraId="13796420" w14:textId="3302DB58" w:rsidR="00B001B4" w:rsidRDefault="00B001B4"/>
    <w:p w14:paraId="0FA58FE5" w14:textId="5D8DFE42" w:rsidR="00B001B4" w:rsidRDefault="00B001B4"/>
    <w:p w14:paraId="2B60216A" w14:textId="21EEA784" w:rsidR="00B001B4" w:rsidRDefault="00B001B4"/>
    <w:p w14:paraId="5B9D3BC8" w14:textId="3A0B56C7" w:rsidR="00B001B4" w:rsidRDefault="00B001B4"/>
    <w:p w14:paraId="56C280B0" w14:textId="77777777" w:rsidR="00B001B4" w:rsidRDefault="00B001B4" w:rsidP="00B001B4">
      <w:pPr>
        <w:pStyle w:val="Default"/>
        <w:rPr>
          <w:sz w:val="20"/>
          <w:szCs w:val="20"/>
        </w:rPr>
      </w:pPr>
      <w:r>
        <w:rPr>
          <w:sz w:val="20"/>
          <w:szCs w:val="20"/>
        </w:rPr>
        <w:lastRenderedPageBreak/>
        <w:t xml:space="preserve">2 GT Litholamellage – Visio du 04 octobre 2024 </w:t>
      </w:r>
    </w:p>
    <w:p w14:paraId="7ECFD2CD" w14:textId="77777777" w:rsidR="00B001B4" w:rsidRDefault="00B001B4" w:rsidP="00B001B4">
      <w:pPr>
        <w:pStyle w:val="Default"/>
        <w:rPr>
          <w:sz w:val="20"/>
          <w:szCs w:val="20"/>
        </w:rPr>
      </w:pPr>
      <w:r>
        <w:rPr>
          <w:b/>
          <w:bCs/>
          <w:sz w:val="20"/>
          <w:szCs w:val="20"/>
        </w:rPr>
        <w:t xml:space="preserve">1. Groupe Opérationnel : </w:t>
      </w:r>
    </w:p>
    <w:p w14:paraId="05D6EDC6" w14:textId="77777777" w:rsidR="00B001B4" w:rsidRDefault="00B001B4" w:rsidP="00B001B4">
      <w:pPr>
        <w:pStyle w:val="Default"/>
        <w:rPr>
          <w:sz w:val="20"/>
          <w:szCs w:val="20"/>
        </w:rPr>
      </w:pPr>
    </w:p>
    <w:p w14:paraId="216C7C9B" w14:textId="77777777" w:rsidR="00B001B4" w:rsidRDefault="00B001B4" w:rsidP="00B001B4">
      <w:pPr>
        <w:pStyle w:val="Default"/>
        <w:rPr>
          <w:sz w:val="20"/>
          <w:szCs w:val="20"/>
        </w:rPr>
      </w:pPr>
      <w:r>
        <w:rPr>
          <w:sz w:val="20"/>
          <w:szCs w:val="20"/>
        </w:rPr>
        <w:t xml:space="preserve">Suite à la première réunion, un groupe opérationnel a été créé via la désignation d’un coordonnateur pour chaque établissement/thématique : </w:t>
      </w:r>
    </w:p>
    <w:p w14:paraId="59F4F836" w14:textId="77777777" w:rsidR="00B001B4" w:rsidRDefault="00B001B4" w:rsidP="00B001B4">
      <w:pPr>
        <w:pStyle w:val="Default"/>
        <w:rPr>
          <w:sz w:val="20"/>
          <w:szCs w:val="20"/>
        </w:rPr>
      </w:pPr>
      <w:r>
        <w:rPr>
          <w:sz w:val="20"/>
          <w:szCs w:val="20"/>
        </w:rPr>
        <w:t xml:space="preserve">Les lithopréparateurs : </w:t>
      </w:r>
    </w:p>
    <w:p w14:paraId="25E30869"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Jean-Pierre Oldra, Géo Océan Brest </w:t>
      </w:r>
    </w:p>
    <w:p w14:paraId="11C660FD"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Christophe Nevado, </w:t>
      </w:r>
      <w:proofErr w:type="spellStart"/>
      <w:r>
        <w:rPr>
          <w:sz w:val="20"/>
          <w:szCs w:val="20"/>
        </w:rPr>
        <w:t>GéoSciences</w:t>
      </w:r>
      <w:proofErr w:type="spellEnd"/>
      <w:r>
        <w:rPr>
          <w:sz w:val="20"/>
          <w:szCs w:val="20"/>
        </w:rPr>
        <w:t xml:space="preserve"> Montpellier, </w:t>
      </w:r>
    </w:p>
    <w:p w14:paraId="02839046"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Xavier Le Coz, </w:t>
      </w:r>
      <w:proofErr w:type="spellStart"/>
      <w:r>
        <w:rPr>
          <w:sz w:val="20"/>
          <w:szCs w:val="20"/>
        </w:rPr>
        <w:t>GéoSciences</w:t>
      </w:r>
      <w:proofErr w:type="spellEnd"/>
      <w:r>
        <w:rPr>
          <w:sz w:val="20"/>
          <w:szCs w:val="20"/>
        </w:rPr>
        <w:t xml:space="preserve"> Rennes </w:t>
      </w:r>
    </w:p>
    <w:p w14:paraId="0C42700D" w14:textId="77777777" w:rsidR="00B001B4" w:rsidRDefault="00B001B4" w:rsidP="00B001B4">
      <w:pPr>
        <w:pStyle w:val="Default"/>
        <w:rPr>
          <w:sz w:val="20"/>
          <w:szCs w:val="20"/>
        </w:rPr>
      </w:pPr>
    </w:p>
    <w:p w14:paraId="6BD1530D" w14:textId="77777777" w:rsidR="00B001B4" w:rsidRDefault="00B001B4" w:rsidP="00B001B4">
      <w:pPr>
        <w:pStyle w:val="Default"/>
        <w:rPr>
          <w:sz w:val="20"/>
          <w:szCs w:val="20"/>
        </w:rPr>
      </w:pPr>
      <w:r>
        <w:rPr>
          <w:sz w:val="20"/>
          <w:szCs w:val="20"/>
        </w:rPr>
        <w:t xml:space="preserve">Les géologues : </w:t>
      </w:r>
    </w:p>
    <w:p w14:paraId="586C10A0"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Guillaume </w:t>
      </w:r>
      <w:proofErr w:type="spellStart"/>
      <w:r>
        <w:rPr>
          <w:sz w:val="20"/>
          <w:szCs w:val="20"/>
        </w:rPr>
        <w:t>Wille</w:t>
      </w:r>
      <w:proofErr w:type="spellEnd"/>
      <w:r>
        <w:rPr>
          <w:sz w:val="20"/>
          <w:szCs w:val="20"/>
        </w:rPr>
        <w:t xml:space="preserve">, BRGM </w:t>
      </w:r>
    </w:p>
    <w:p w14:paraId="44C69EDE"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Cécile Prigent, IPGP </w:t>
      </w:r>
    </w:p>
    <w:p w14:paraId="12C99533"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Mathieu </w:t>
      </w:r>
      <w:proofErr w:type="spellStart"/>
      <w:r>
        <w:rPr>
          <w:sz w:val="20"/>
          <w:szCs w:val="20"/>
        </w:rPr>
        <w:t>Rosbapé</w:t>
      </w:r>
      <w:proofErr w:type="spellEnd"/>
      <w:r>
        <w:rPr>
          <w:sz w:val="20"/>
          <w:szCs w:val="20"/>
        </w:rPr>
        <w:t xml:space="preserve">, IFREMER </w:t>
      </w:r>
    </w:p>
    <w:p w14:paraId="5A6D843E" w14:textId="77777777" w:rsidR="00B001B4" w:rsidRDefault="00B001B4" w:rsidP="00B001B4">
      <w:pPr>
        <w:pStyle w:val="Default"/>
        <w:rPr>
          <w:sz w:val="20"/>
          <w:szCs w:val="20"/>
        </w:rPr>
      </w:pPr>
    </w:p>
    <w:p w14:paraId="367719A3" w14:textId="77777777" w:rsidR="00B001B4" w:rsidRDefault="00B001B4" w:rsidP="00B001B4">
      <w:pPr>
        <w:pStyle w:val="Default"/>
        <w:rPr>
          <w:sz w:val="20"/>
          <w:szCs w:val="20"/>
        </w:rPr>
      </w:pPr>
      <w:r>
        <w:rPr>
          <w:sz w:val="20"/>
          <w:szCs w:val="20"/>
        </w:rPr>
        <w:t xml:space="preserve">Les conseillers de prévention : </w:t>
      </w:r>
    </w:p>
    <w:p w14:paraId="121F5743"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Steve Bertho, IFREMER </w:t>
      </w:r>
    </w:p>
    <w:p w14:paraId="57635F09"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Marielle Boucher, UBO </w:t>
      </w:r>
    </w:p>
    <w:p w14:paraId="1A41B0DE"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Ludivine </w:t>
      </w:r>
      <w:proofErr w:type="spellStart"/>
      <w:r>
        <w:rPr>
          <w:sz w:val="20"/>
          <w:szCs w:val="20"/>
        </w:rPr>
        <w:t>Rugani</w:t>
      </w:r>
      <w:proofErr w:type="spellEnd"/>
      <w:r>
        <w:rPr>
          <w:sz w:val="20"/>
          <w:szCs w:val="20"/>
        </w:rPr>
        <w:t xml:space="preserve">, Université de Montpellier </w:t>
      </w:r>
    </w:p>
    <w:p w14:paraId="652AEAE5"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Ludovic Tessier, CNRS Bretagne et Pays de la Loire. </w:t>
      </w:r>
    </w:p>
    <w:p w14:paraId="3A824083" w14:textId="77777777" w:rsidR="00B001B4" w:rsidRDefault="00B001B4" w:rsidP="00B001B4">
      <w:pPr>
        <w:pStyle w:val="Default"/>
        <w:rPr>
          <w:sz w:val="20"/>
          <w:szCs w:val="20"/>
        </w:rPr>
      </w:pPr>
    </w:p>
    <w:p w14:paraId="31F1BBF4" w14:textId="77777777" w:rsidR="00B001B4" w:rsidRDefault="00B001B4" w:rsidP="00B001B4">
      <w:pPr>
        <w:pStyle w:val="Default"/>
        <w:rPr>
          <w:sz w:val="20"/>
          <w:szCs w:val="20"/>
        </w:rPr>
      </w:pPr>
      <w:r>
        <w:rPr>
          <w:sz w:val="20"/>
          <w:szCs w:val="20"/>
        </w:rPr>
        <w:t xml:space="preserve">+Thierry </w:t>
      </w:r>
      <w:proofErr w:type="spellStart"/>
      <w:r>
        <w:rPr>
          <w:sz w:val="20"/>
          <w:szCs w:val="20"/>
        </w:rPr>
        <w:t>Labasque</w:t>
      </w:r>
      <w:proofErr w:type="spellEnd"/>
      <w:r>
        <w:rPr>
          <w:sz w:val="20"/>
          <w:szCs w:val="20"/>
        </w:rPr>
        <w:t xml:space="preserve">, Directeur Technique Adjoint INSU, </w:t>
      </w:r>
    </w:p>
    <w:p w14:paraId="21C45BBB" w14:textId="77777777" w:rsidR="00B001B4" w:rsidRDefault="00B001B4" w:rsidP="00B001B4">
      <w:pPr>
        <w:pStyle w:val="Default"/>
        <w:rPr>
          <w:sz w:val="20"/>
          <w:szCs w:val="20"/>
        </w:rPr>
      </w:pPr>
      <w:r>
        <w:rPr>
          <w:sz w:val="20"/>
          <w:szCs w:val="20"/>
        </w:rPr>
        <w:t xml:space="preserve">+Yves </w:t>
      </w:r>
      <w:proofErr w:type="spellStart"/>
      <w:r>
        <w:rPr>
          <w:sz w:val="20"/>
          <w:szCs w:val="20"/>
        </w:rPr>
        <w:t>Fenech</w:t>
      </w:r>
      <w:proofErr w:type="spellEnd"/>
      <w:r>
        <w:rPr>
          <w:sz w:val="20"/>
          <w:szCs w:val="20"/>
        </w:rPr>
        <w:t xml:space="preserve">, Coordinateur National de Prévention et de Sécurité, </w:t>
      </w:r>
    </w:p>
    <w:p w14:paraId="04FFD17B" w14:textId="77777777" w:rsidR="00B001B4" w:rsidRDefault="00B001B4" w:rsidP="00B001B4">
      <w:pPr>
        <w:pStyle w:val="Default"/>
        <w:rPr>
          <w:sz w:val="20"/>
          <w:szCs w:val="20"/>
        </w:rPr>
      </w:pPr>
      <w:r>
        <w:rPr>
          <w:sz w:val="20"/>
          <w:szCs w:val="20"/>
        </w:rPr>
        <w:t xml:space="preserve">+Céline Bataillon, Coordinatrice Nationale Adjointe de Prévention et de Sécurité </w:t>
      </w:r>
    </w:p>
    <w:p w14:paraId="6514062A" w14:textId="77777777" w:rsidR="00B001B4" w:rsidRDefault="00B001B4" w:rsidP="00B001B4">
      <w:pPr>
        <w:pStyle w:val="Default"/>
        <w:rPr>
          <w:sz w:val="20"/>
          <w:szCs w:val="20"/>
        </w:rPr>
      </w:pPr>
      <w:r>
        <w:rPr>
          <w:sz w:val="20"/>
          <w:szCs w:val="20"/>
        </w:rPr>
        <w:t xml:space="preserve">2. </w:t>
      </w:r>
      <w:r>
        <w:rPr>
          <w:b/>
          <w:bCs/>
          <w:sz w:val="20"/>
          <w:szCs w:val="20"/>
        </w:rPr>
        <w:t xml:space="preserve">Site de partage de données </w:t>
      </w:r>
    </w:p>
    <w:p w14:paraId="4C3D7916" w14:textId="77777777" w:rsidR="00B001B4" w:rsidRDefault="00B001B4" w:rsidP="00B001B4">
      <w:pPr>
        <w:pStyle w:val="Default"/>
        <w:rPr>
          <w:sz w:val="20"/>
          <w:szCs w:val="20"/>
        </w:rPr>
      </w:pPr>
    </w:p>
    <w:p w14:paraId="6D5B162F" w14:textId="77777777" w:rsidR="00B001B4" w:rsidRDefault="00B001B4" w:rsidP="00B001B4">
      <w:pPr>
        <w:pStyle w:val="Default"/>
        <w:rPr>
          <w:sz w:val="20"/>
          <w:szCs w:val="20"/>
        </w:rPr>
      </w:pPr>
      <w:r>
        <w:rPr>
          <w:sz w:val="20"/>
          <w:szCs w:val="20"/>
        </w:rPr>
        <w:t xml:space="preserve">Un site collaboratif dans le but de mutualiser l’ensemble des ressources (études déjà réalisées, mesures, documents type tableau pétrographique, avancées techniques) a été mis en place : </w:t>
      </w:r>
    </w:p>
    <w:p w14:paraId="5A6EF711" w14:textId="77777777" w:rsidR="00B001B4" w:rsidRDefault="00B001B4" w:rsidP="00B001B4">
      <w:pPr>
        <w:pStyle w:val="Default"/>
        <w:rPr>
          <w:sz w:val="20"/>
          <w:szCs w:val="20"/>
        </w:rPr>
      </w:pPr>
      <w:r>
        <w:rPr>
          <w:sz w:val="20"/>
          <w:szCs w:val="20"/>
        </w:rPr>
        <w:t xml:space="preserve">https://sdrive.cnrs.fr/s/qNLpEEFLwX4ad5N </w:t>
      </w:r>
    </w:p>
    <w:p w14:paraId="6E0939E3" w14:textId="77777777" w:rsidR="00B001B4" w:rsidRDefault="00B001B4" w:rsidP="00B001B4">
      <w:pPr>
        <w:pStyle w:val="Default"/>
        <w:rPr>
          <w:sz w:val="20"/>
          <w:szCs w:val="20"/>
        </w:rPr>
      </w:pPr>
      <w:r>
        <w:rPr>
          <w:sz w:val="20"/>
          <w:szCs w:val="20"/>
        </w:rPr>
        <w:t xml:space="preserve">Tout problème de connexion devra faire l’objet d’une demande d’assistance à Ludovic Tessier. </w:t>
      </w:r>
    </w:p>
    <w:p w14:paraId="72FEBD30" w14:textId="77777777" w:rsidR="00B001B4" w:rsidRDefault="00B001B4" w:rsidP="00B001B4">
      <w:pPr>
        <w:pStyle w:val="Default"/>
        <w:rPr>
          <w:sz w:val="20"/>
          <w:szCs w:val="20"/>
        </w:rPr>
      </w:pPr>
      <w:r>
        <w:rPr>
          <w:sz w:val="20"/>
          <w:szCs w:val="20"/>
        </w:rPr>
        <w:t xml:space="preserve">3. </w:t>
      </w:r>
      <w:r>
        <w:rPr>
          <w:b/>
          <w:bCs/>
          <w:sz w:val="20"/>
          <w:szCs w:val="20"/>
        </w:rPr>
        <w:t xml:space="preserve">Mesurage de fibres d’amiante </w:t>
      </w:r>
    </w:p>
    <w:p w14:paraId="31ACC0DE" w14:textId="77777777" w:rsidR="00B001B4" w:rsidRDefault="00B001B4" w:rsidP="00B001B4">
      <w:pPr>
        <w:pStyle w:val="Default"/>
        <w:rPr>
          <w:sz w:val="20"/>
          <w:szCs w:val="20"/>
        </w:rPr>
      </w:pPr>
    </w:p>
    <w:p w14:paraId="4B6FC3D0" w14:textId="77777777" w:rsidR="00B001B4" w:rsidRDefault="00B001B4" w:rsidP="00B001B4">
      <w:pPr>
        <w:pStyle w:val="Default"/>
        <w:rPr>
          <w:sz w:val="20"/>
          <w:szCs w:val="20"/>
        </w:rPr>
      </w:pPr>
      <w:r>
        <w:rPr>
          <w:sz w:val="20"/>
          <w:szCs w:val="20"/>
        </w:rPr>
        <w:t xml:space="preserve">a. </w:t>
      </w:r>
      <w:r>
        <w:rPr>
          <w:b/>
          <w:bCs/>
          <w:sz w:val="20"/>
          <w:szCs w:val="20"/>
        </w:rPr>
        <w:t xml:space="preserve">Mesurages IFREMER : </w:t>
      </w:r>
    </w:p>
    <w:p w14:paraId="19B7E120" w14:textId="77777777" w:rsidR="00B001B4" w:rsidRDefault="00B001B4" w:rsidP="00B001B4">
      <w:pPr>
        <w:pStyle w:val="Default"/>
        <w:rPr>
          <w:sz w:val="20"/>
          <w:szCs w:val="20"/>
        </w:rPr>
      </w:pPr>
    </w:p>
    <w:p w14:paraId="3E4444F1" w14:textId="77777777" w:rsidR="00B001B4" w:rsidRDefault="00B001B4" w:rsidP="00B001B4">
      <w:pPr>
        <w:pStyle w:val="Default"/>
        <w:rPr>
          <w:sz w:val="20"/>
          <w:szCs w:val="20"/>
        </w:rPr>
      </w:pPr>
      <w:r>
        <w:rPr>
          <w:sz w:val="20"/>
          <w:szCs w:val="20"/>
        </w:rPr>
        <w:t xml:space="preserve">Un chantier test, commandité par l’IFREMER, a été réalisé dans l’unité Géo Océan (CNRS – UBO – IFREMER) dans les locaux propriété de l’IFREMER avec </w:t>
      </w:r>
      <w:proofErr w:type="gramStart"/>
      <w:r>
        <w:rPr>
          <w:sz w:val="20"/>
          <w:szCs w:val="20"/>
        </w:rPr>
        <w:t>les prestataire</w:t>
      </w:r>
      <w:proofErr w:type="gramEnd"/>
      <w:r>
        <w:rPr>
          <w:sz w:val="20"/>
          <w:szCs w:val="20"/>
        </w:rPr>
        <w:t xml:space="preserve"> BJL environnement (non certifié COFRAC) pour la partie stratégie et ITGA pour les analyses en sous-traitance. Les échanges se sont avérés compliqués en raison de la sous-traitance. </w:t>
      </w:r>
    </w:p>
    <w:p w14:paraId="5C15B3DB" w14:textId="77777777" w:rsidR="00B001B4" w:rsidRDefault="00B001B4" w:rsidP="00B001B4">
      <w:pPr>
        <w:pStyle w:val="Default"/>
        <w:rPr>
          <w:sz w:val="20"/>
          <w:szCs w:val="20"/>
        </w:rPr>
      </w:pPr>
      <w:r>
        <w:rPr>
          <w:sz w:val="20"/>
          <w:szCs w:val="20"/>
        </w:rPr>
        <w:t xml:space="preserve">Les prochaines mesures prévues en novembre s’effectueront exclusivement avec ITGA, du prélèvement à l’analyse. 10 modes opératoires (pesée de poudres, tamisage de sédiment par voie sèche et par voie humide…) ont été établis et feront l’objet de mesurage. A noter que les modes opératoires sur les étapes de sciage sont exclus de la démarche de l’IFREMER. </w:t>
      </w:r>
    </w:p>
    <w:p w14:paraId="47A1BE63" w14:textId="77777777" w:rsidR="00B001B4" w:rsidRDefault="00B001B4" w:rsidP="00B001B4">
      <w:pPr>
        <w:pStyle w:val="Default"/>
        <w:rPr>
          <w:sz w:val="20"/>
          <w:szCs w:val="20"/>
        </w:rPr>
      </w:pPr>
      <w:r>
        <w:rPr>
          <w:sz w:val="20"/>
          <w:szCs w:val="20"/>
        </w:rPr>
        <w:t xml:space="preserve">Ces mesures seront réalisées avec un sas de confinement. Les modes opératoires vont être présentés au CSE IFREMER après l’avis de l’Inspection Santé et Sécurité au Travail (ISST) et de la CARSAT. </w:t>
      </w:r>
    </w:p>
    <w:p w14:paraId="2311B009" w14:textId="77777777" w:rsidR="00B001B4" w:rsidRDefault="00B001B4" w:rsidP="00B001B4">
      <w:pPr>
        <w:pStyle w:val="Default"/>
        <w:rPr>
          <w:sz w:val="20"/>
          <w:szCs w:val="20"/>
        </w:rPr>
      </w:pPr>
      <w:r>
        <w:rPr>
          <w:sz w:val="20"/>
          <w:szCs w:val="20"/>
        </w:rPr>
        <w:t xml:space="preserve">L’ordre de prix à retenir est d’environ 1000€/mode opératoire analysé. </w:t>
      </w:r>
    </w:p>
    <w:p w14:paraId="789B1B76" w14:textId="77777777" w:rsidR="00B001B4" w:rsidRDefault="00B001B4" w:rsidP="00B001B4">
      <w:pPr>
        <w:pStyle w:val="Default"/>
        <w:rPr>
          <w:sz w:val="20"/>
          <w:szCs w:val="20"/>
        </w:rPr>
      </w:pPr>
      <w:r>
        <w:rPr>
          <w:sz w:val="20"/>
          <w:szCs w:val="20"/>
        </w:rPr>
        <w:t xml:space="preserve">L’ANSES précise que le protocole habituel (microscope à lumière polarisée et microscope électronique à transmission) sur des fragments de roches broyées ne permet pas de distinguer clairement les fibres d’amiantes des autres fibres ; ce qui a pour conséquence de surestimer la concentration en fibres d’amiante. ITGA à la particularité de pousser ses analyses avec un microscope électronique à balayage (MEB) permettant de faire cette distinction. Leurs résultats sont plus fiables même si leurs tarifs sont plus élevés (+ 10 à 15%). </w:t>
      </w:r>
    </w:p>
    <w:p w14:paraId="71798808" w14:textId="77777777" w:rsidR="00B001B4" w:rsidRDefault="00B001B4" w:rsidP="00B001B4">
      <w:pPr>
        <w:pStyle w:val="Default"/>
        <w:rPr>
          <w:sz w:val="20"/>
          <w:szCs w:val="20"/>
        </w:rPr>
      </w:pPr>
      <w:r>
        <w:rPr>
          <w:rFonts w:ascii="Wingdings" w:hAnsi="Wingdings" w:cs="Wingdings"/>
          <w:sz w:val="20"/>
          <w:szCs w:val="20"/>
        </w:rPr>
        <w:t xml:space="preserve"> </w:t>
      </w:r>
      <w:r>
        <w:rPr>
          <w:sz w:val="20"/>
          <w:szCs w:val="20"/>
        </w:rPr>
        <w:t>Une synthèse des mesures réalisées par l’IFREMER ainsi que les modes opératoires IFREMER seront partagés avec le GT.</w:t>
      </w:r>
    </w:p>
    <w:p w14:paraId="600CD214" w14:textId="66E43589" w:rsidR="00B001B4" w:rsidRDefault="00B001B4"/>
    <w:p w14:paraId="5BE6B4AA" w14:textId="3CADCD2D" w:rsidR="00B001B4" w:rsidRDefault="00B001B4"/>
    <w:p w14:paraId="72A51501" w14:textId="4223C984" w:rsidR="00B001B4" w:rsidRDefault="00B001B4"/>
    <w:p w14:paraId="3F154C48" w14:textId="77777777" w:rsidR="00B001B4" w:rsidRDefault="00B001B4" w:rsidP="00B001B4">
      <w:pPr>
        <w:pStyle w:val="Default"/>
        <w:rPr>
          <w:sz w:val="20"/>
          <w:szCs w:val="20"/>
        </w:rPr>
      </w:pPr>
      <w:r>
        <w:rPr>
          <w:sz w:val="20"/>
          <w:szCs w:val="20"/>
        </w:rPr>
        <w:lastRenderedPageBreak/>
        <w:t xml:space="preserve">3 GT Litholamellage – Visio du 04 octobre 2024 </w:t>
      </w:r>
    </w:p>
    <w:p w14:paraId="2F1C3415" w14:textId="77777777" w:rsidR="00B001B4" w:rsidRDefault="00B001B4" w:rsidP="00B001B4">
      <w:pPr>
        <w:pStyle w:val="Default"/>
        <w:rPr>
          <w:sz w:val="20"/>
          <w:szCs w:val="20"/>
        </w:rPr>
      </w:pPr>
      <w:r>
        <w:rPr>
          <w:rFonts w:ascii="Wingdings" w:hAnsi="Wingdings" w:cs="Wingdings"/>
          <w:sz w:val="20"/>
          <w:szCs w:val="20"/>
        </w:rPr>
        <w:t xml:space="preserve"> </w:t>
      </w:r>
      <w:r>
        <w:rPr>
          <w:sz w:val="20"/>
          <w:szCs w:val="20"/>
        </w:rPr>
        <w:t xml:space="preserve">ITGA est retenu par le GT en raison de la méthodologie d’analyse utilisée. </w:t>
      </w:r>
    </w:p>
    <w:p w14:paraId="6806DFDF" w14:textId="77777777" w:rsidR="00B001B4" w:rsidRDefault="00B001B4" w:rsidP="00B001B4">
      <w:pPr>
        <w:pStyle w:val="Default"/>
        <w:rPr>
          <w:sz w:val="20"/>
          <w:szCs w:val="20"/>
        </w:rPr>
      </w:pPr>
    </w:p>
    <w:p w14:paraId="6AC74A79" w14:textId="77777777" w:rsidR="00B001B4" w:rsidRDefault="00B001B4" w:rsidP="00B001B4">
      <w:pPr>
        <w:pStyle w:val="Default"/>
        <w:rPr>
          <w:sz w:val="20"/>
          <w:szCs w:val="20"/>
        </w:rPr>
      </w:pPr>
      <w:r>
        <w:rPr>
          <w:b/>
          <w:bCs/>
          <w:sz w:val="20"/>
          <w:szCs w:val="20"/>
        </w:rPr>
        <w:t xml:space="preserve">b. Mesurage UBO : </w:t>
      </w:r>
    </w:p>
    <w:p w14:paraId="7A80E356" w14:textId="77777777" w:rsidR="00B001B4" w:rsidRDefault="00B001B4" w:rsidP="00B001B4">
      <w:pPr>
        <w:pStyle w:val="Default"/>
        <w:rPr>
          <w:sz w:val="20"/>
          <w:szCs w:val="20"/>
        </w:rPr>
      </w:pPr>
    </w:p>
    <w:p w14:paraId="3D9E6349" w14:textId="77777777" w:rsidR="00B001B4" w:rsidRDefault="00B001B4" w:rsidP="00B001B4">
      <w:pPr>
        <w:pStyle w:val="Default"/>
        <w:rPr>
          <w:sz w:val="20"/>
          <w:szCs w:val="20"/>
        </w:rPr>
      </w:pPr>
      <w:r>
        <w:rPr>
          <w:sz w:val="20"/>
          <w:szCs w:val="20"/>
        </w:rPr>
        <w:t xml:space="preserve">L’UBO a réalisé dans l’unité Géo-Océan dans les locaux hébergés par l’UBO des mesures à blanc afin d’estimer la pollution résiduelle des salles de lithopréparation. Les tests ont été réalisés par la société AC Environnement qui n’est pas accréditée en amiante environnementale. </w:t>
      </w:r>
    </w:p>
    <w:p w14:paraId="0053C9E8" w14:textId="77777777" w:rsidR="00B001B4" w:rsidRDefault="00B001B4" w:rsidP="00B001B4">
      <w:pPr>
        <w:pStyle w:val="Default"/>
        <w:rPr>
          <w:sz w:val="20"/>
          <w:szCs w:val="20"/>
        </w:rPr>
      </w:pPr>
      <w:r>
        <w:rPr>
          <w:sz w:val="20"/>
          <w:szCs w:val="20"/>
        </w:rPr>
        <w:t xml:space="preserve">Des ventilateurs ont été utilisés afin de remettre en suspension dans l’air les particules déposées. Les analyses se sont révélées négatives. </w:t>
      </w:r>
    </w:p>
    <w:p w14:paraId="2975695A" w14:textId="77777777" w:rsidR="00B001B4" w:rsidRDefault="00B001B4" w:rsidP="00B001B4">
      <w:pPr>
        <w:pStyle w:val="Default"/>
        <w:rPr>
          <w:sz w:val="20"/>
          <w:szCs w:val="20"/>
        </w:rPr>
      </w:pPr>
      <w:r>
        <w:rPr>
          <w:rFonts w:ascii="Wingdings" w:hAnsi="Wingdings" w:cs="Wingdings"/>
          <w:sz w:val="20"/>
          <w:szCs w:val="20"/>
        </w:rPr>
        <w:t xml:space="preserve"> </w:t>
      </w:r>
      <w:r>
        <w:rPr>
          <w:sz w:val="20"/>
          <w:szCs w:val="20"/>
        </w:rPr>
        <w:t xml:space="preserve">Les résultats des mesures réalisées par L’UBO seront déposés sur le site de partage. </w:t>
      </w:r>
    </w:p>
    <w:p w14:paraId="185771A6" w14:textId="77777777" w:rsidR="00B001B4" w:rsidRDefault="00B001B4" w:rsidP="00B001B4">
      <w:pPr>
        <w:pStyle w:val="Default"/>
        <w:rPr>
          <w:sz w:val="20"/>
          <w:szCs w:val="20"/>
        </w:rPr>
      </w:pPr>
    </w:p>
    <w:p w14:paraId="6DAFA7E5" w14:textId="77777777" w:rsidR="00B001B4" w:rsidRDefault="00B001B4" w:rsidP="00B001B4">
      <w:pPr>
        <w:pStyle w:val="Default"/>
        <w:rPr>
          <w:sz w:val="20"/>
          <w:szCs w:val="20"/>
        </w:rPr>
      </w:pPr>
      <w:r>
        <w:rPr>
          <w:b/>
          <w:bCs/>
          <w:sz w:val="20"/>
          <w:szCs w:val="20"/>
        </w:rPr>
        <w:t xml:space="preserve">c. Mesures à réaliser dans le cadre du GT : </w:t>
      </w:r>
    </w:p>
    <w:p w14:paraId="06C8FE0C" w14:textId="77777777" w:rsidR="00B001B4" w:rsidRDefault="00B001B4" w:rsidP="00B001B4">
      <w:pPr>
        <w:pStyle w:val="Default"/>
        <w:rPr>
          <w:sz w:val="20"/>
          <w:szCs w:val="20"/>
        </w:rPr>
      </w:pPr>
    </w:p>
    <w:p w14:paraId="67C6BD97" w14:textId="77777777" w:rsidR="00B001B4" w:rsidRDefault="00B001B4" w:rsidP="00B001B4">
      <w:pPr>
        <w:pStyle w:val="Default"/>
        <w:rPr>
          <w:sz w:val="20"/>
          <w:szCs w:val="20"/>
        </w:rPr>
      </w:pPr>
      <w:r>
        <w:rPr>
          <w:sz w:val="20"/>
          <w:szCs w:val="20"/>
        </w:rPr>
        <w:t xml:space="preserve">Afin de compléter les mesures réalisées par l’IFREMER, une série de mesures sera réalisée en conditions réelles de sciage et de broyage avec toutes les précautions nécessaires afin d’éviter toute exposition à des fibres d’amiante. </w:t>
      </w:r>
    </w:p>
    <w:p w14:paraId="4E6442A4" w14:textId="77777777" w:rsidR="00B001B4" w:rsidRDefault="00B001B4" w:rsidP="00B001B4">
      <w:pPr>
        <w:pStyle w:val="Default"/>
        <w:rPr>
          <w:sz w:val="20"/>
          <w:szCs w:val="20"/>
        </w:rPr>
      </w:pPr>
      <w:r>
        <w:rPr>
          <w:sz w:val="20"/>
          <w:szCs w:val="20"/>
        </w:rPr>
        <w:t xml:space="preserve">Dans un premier temps, ces mesures seront réalisées sans amélioration techniques (coffrage, captation, sécurité…) afin de pouvoir quantifier l’exposition actuelle des agents. Dans un second temps, les mesures permettront de tester l’efficacité des systèmes de protection mis en place. </w:t>
      </w:r>
    </w:p>
    <w:p w14:paraId="775D5FEC" w14:textId="77777777" w:rsidR="00B001B4" w:rsidRDefault="00B001B4" w:rsidP="00B001B4">
      <w:pPr>
        <w:pStyle w:val="Default"/>
        <w:rPr>
          <w:sz w:val="20"/>
          <w:szCs w:val="20"/>
        </w:rPr>
      </w:pPr>
      <w:r>
        <w:rPr>
          <w:sz w:val="20"/>
          <w:szCs w:val="20"/>
        </w:rPr>
        <w:t xml:space="preserve">Une mesure à blanc sera préalablement réalisée afin de quantifier une éventuelle pollution résiduelle. </w:t>
      </w:r>
    </w:p>
    <w:p w14:paraId="5435D27A" w14:textId="77777777" w:rsidR="00B001B4" w:rsidRDefault="00B001B4" w:rsidP="00B001B4">
      <w:pPr>
        <w:pStyle w:val="Default"/>
        <w:rPr>
          <w:sz w:val="20"/>
          <w:szCs w:val="20"/>
        </w:rPr>
      </w:pPr>
      <w:r>
        <w:rPr>
          <w:sz w:val="20"/>
          <w:szCs w:val="20"/>
        </w:rPr>
        <w:t xml:space="preserve">En raison de l’absence de systèmes de protection, de captation ou d’aspiration des salles de lithopréparation du site UBO de Géo-Océan, il est convenu que les mesures se concentreront sur le laboratoire </w:t>
      </w:r>
      <w:proofErr w:type="spellStart"/>
      <w:r>
        <w:rPr>
          <w:sz w:val="20"/>
          <w:szCs w:val="20"/>
        </w:rPr>
        <w:t>GéoSciences</w:t>
      </w:r>
      <w:proofErr w:type="spellEnd"/>
      <w:r>
        <w:rPr>
          <w:sz w:val="20"/>
          <w:szCs w:val="20"/>
        </w:rPr>
        <w:t xml:space="preserve"> de Montpellier sur un budget Université de Montpellier et CNRS. </w:t>
      </w:r>
    </w:p>
    <w:p w14:paraId="2FD861F8" w14:textId="77777777" w:rsidR="00B001B4" w:rsidRDefault="00B001B4" w:rsidP="00B001B4">
      <w:pPr>
        <w:pStyle w:val="Default"/>
        <w:rPr>
          <w:sz w:val="20"/>
          <w:szCs w:val="20"/>
        </w:rPr>
      </w:pPr>
      <w:r>
        <w:rPr>
          <w:b/>
          <w:bCs/>
          <w:sz w:val="20"/>
          <w:szCs w:val="20"/>
        </w:rPr>
        <w:t xml:space="preserve">Les mesures devront être réalisées en priorité sur des modes opératoires et des échantillons de roche faisant consensus dans la communauté des lithopréparateurs. </w:t>
      </w:r>
    </w:p>
    <w:p w14:paraId="1B334428" w14:textId="77777777" w:rsidR="00B001B4" w:rsidRDefault="00B001B4" w:rsidP="00B001B4">
      <w:pPr>
        <w:pStyle w:val="Default"/>
        <w:rPr>
          <w:sz w:val="20"/>
          <w:szCs w:val="20"/>
        </w:rPr>
      </w:pPr>
      <w:r>
        <w:rPr>
          <w:sz w:val="20"/>
          <w:szCs w:val="20"/>
        </w:rPr>
        <w:t xml:space="preserve">Pour ces mesures, l’IFREMER est prêt à fournir leurs échantillons tests utilisés en interne dans la mesure où ils sont parfaitement caractérisés. </w:t>
      </w:r>
    </w:p>
    <w:p w14:paraId="18CA7CF0" w14:textId="77777777" w:rsidR="00B001B4" w:rsidRDefault="00B001B4" w:rsidP="00B001B4">
      <w:pPr>
        <w:pStyle w:val="Default"/>
        <w:rPr>
          <w:sz w:val="20"/>
          <w:szCs w:val="20"/>
        </w:rPr>
      </w:pPr>
      <w:r>
        <w:rPr>
          <w:b/>
          <w:bCs/>
          <w:sz w:val="20"/>
          <w:szCs w:val="20"/>
        </w:rPr>
        <w:t xml:space="preserve">4. Formation </w:t>
      </w:r>
    </w:p>
    <w:p w14:paraId="2B27C4D4" w14:textId="77777777" w:rsidR="00B001B4" w:rsidRDefault="00B001B4" w:rsidP="00B001B4">
      <w:pPr>
        <w:pStyle w:val="Default"/>
        <w:rPr>
          <w:sz w:val="20"/>
          <w:szCs w:val="20"/>
        </w:rPr>
      </w:pPr>
    </w:p>
    <w:p w14:paraId="2FB6B0FD" w14:textId="77777777" w:rsidR="00B001B4" w:rsidRDefault="00B001B4" w:rsidP="00B001B4">
      <w:pPr>
        <w:pStyle w:val="Default"/>
        <w:rPr>
          <w:sz w:val="20"/>
          <w:szCs w:val="20"/>
        </w:rPr>
      </w:pPr>
      <w:r>
        <w:rPr>
          <w:sz w:val="20"/>
          <w:szCs w:val="20"/>
        </w:rPr>
        <w:t xml:space="preserve">Réglementairement, la formation SS4 pour les agents manipulant des roches potentiellement amiantifères semble inévitable. Le contenu réglementaire de cette formation est peu adapté aux activités des lithopréparateurs et plus largement à la problématique de l’amiante environnemental. </w:t>
      </w:r>
    </w:p>
    <w:p w14:paraId="0EB0A7B0" w14:textId="77777777" w:rsidR="00B001B4" w:rsidRDefault="00B001B4" w:rsidP="00B001B4">
      <w:pPr>
        <w:pStyle w:val="Default"/>
        <w:rPr>
          <w:sz w:val="20"/>
          <w:szCs w:val="20"/>
        </w:rPr>
      </w:pPr>
      <w:r>
        <w:rPr>
          <w:sz w:val="20"/>
          <w:szCs w:val="20"/>
        </w:rPr>
        <w:t xml:space="preserve">L’IFREMER a entrepris de former tous ses agents concernés. Ils font appel à la société AMAXTEO qui présente l’avantage d’avoir un intervenant géologue permettant d’adapter les propos au public cible. </w:t>
      </w:r>
    </w:p>
    <w:p w14:paraId="2A1DD33F" w14:textId="77777777" w:rsidR="00B001B4" w:rsidRDefault="00B001B4" w:rsidP="00B001B4">
      <w:pPr>
        <w:pStyle w:val="Default"/>
        <w:rPr>
          <w:sz w:val="20"/>
          <w:szCs w:val="20"/>
        </w:rPr>
      </w:pPr>
      <w:r>
        <w:rPr>
          <w:sz w:val="20"/>
          <w:szCs w:val="20"/>
        </w:rPr>
        <w:t xml:space="preserve">L’UBO prévoit également de faire suivre la formation SS4 à ses agents. </w:t>
      </w:r>
    </w:p>
    <w:p w14:paraId="553DD63A" w14:textId="77777777" w:rsidR="00B001B4" w:rsidRDefault="00B001B4" w:rsidP="00B001B4">
      <w:pPr>
        <w:pStyle w:val="Default"/>
        <w:rPr>
          <w:sz w:val="20"/>
          <w:szCs w:val="20"/>
        </w:rPr>
      </w:pPr>
      <w:r>
        <w:rPr>
          <w:sz w:val="20"/>
          <w:szCs w:val="20"/>
        </w:rPr>
        <w:t xml:space="preserve">Le BRGM pourrait proposer un module complémentaire sur l’amiante environnemental. Les modalités restent à définir. </w:t>
      </w:r>
    </w:p>
    <w:p w14:paraId="40504DB4" w14:textId="77777777" w:rsidR="00B001B4" w:rsidRDefault="00B001B4" w:rsidP="00B001B4">
      <w:pPr>
        <w:pStyle w:val="Default"/>
        <w:rPr>
          <w:sz w:val="20"/>
          <w:szCs w:val="20"/>
        </w:rPr>
      </w:pPr>
      <w:r>
        <w:rPr>
          <w:b/>
          <w:bCs/>
          <w:sz w:val="20"/>
          <w:szCs w:val="20"/>
        </w:rPr>
        <w:t xml:space="preserve">5. Evaluation du risque en amont </w:t>
      </w:r>
    </w:p>
    <w:p w14:paraId="63C1DC0A" w14:textId="77777777" w:rsidR="00B001B4" w:rsidRDefault="00B001B4" w:rsidP="00B001B4">
      <w:pPr>
        <w:pStyle w:val="Default"/>
        <w:rPr>
          <w:sz w:val="20"/>
          <w:szCs w:val="20"/>
        </w:rPr>
      </w:pPr>
    </w:p>
    <w:p w14:paraId="1F2349D2" w14:textId="77777777" w:rsidR="00B001B4" w:rsidRDefault="00B001B4" w:rsidP="00B001B4">
      <w:pPr>
        <w:pStyle w:val="Default"/>
        <w:rPr>
          <w:sz w:val="20"/>
          <w:szCs w:val="20"/>
        </w:rPr>
      </w:pPr>
      <w:r>
        <w:rPr>
          <w:sz w:val="20"/>
          <w:szCs w:val="20"/>
        </w:rPr>
        <w:t xml:space="preserve">La note interne IFREMER sur la mise en </w:t>
      </w:r>
      <w:proofErr w:type="spellStart"/>
      <w:r>
        <w:rPr>
          <w:sz w:val="20"/>
          <w:szCs w:val="20"/>
        </w:rPr>
        <w:t>oeuvre</w:t>
      </w:r>
      <w:proofErr w:type="spellEnd"/>
      <w:r>
        <w:rPr>
          <w:sz w:val="20"/>
          <w:szCs w:val="20"/>
        </w:rPr>
        <w:t xml:space="preserve"> de la traçabilité de l’évaluation du risque « amiantifère » a été communiqué au GT. </w:t>
      </w:r>
    </w:p>
    <w:p w14:paraId="71F6940F" w14:textId="010B6B8A" w:rsidR="00B001B4" w:rsidRDefault="00B001B4" w:rsidP="00B001B4">
      <w:pPr>
        <w:rPr>
          <w:sz w:val="20"/>
          <w:szCs w:val="20"/>
        </w:rPr>
      </w:pPr>
      <w:r>
        <w:rPr>
          <w:sz w:val="20"/>
          <w:szCs w:val="20"/>
        </w:rPr>
        <w:t>Après en avoir pris connaissance, les géologues du GT pourront s’en inspirer afin de proposer une méthodologie équivalente et éventuellement compléter par les pratiques hors champ de l’IFREMER.</w:t>
      </w:r>
    </w:p>
    <w:p w14:paraId="611A0415" w14:textId="77777777" w:rsidR="00B001B4" w:rsidRDefault="00B001B4" w:rsidP="00B001B4">
      <w:pPr>
        <w:pStyle w:val="Default"/>
      </w:pPr>
    </w:p>
    <w:p w14:paraId="3E1B9017" w14:textId="77777777" w:rsidR="00B001B4" w:rsidRDefault="00B001B4" w:rsidP="00B001B4">
      <w:pPr>
        <w:pStyle w:val="Default"/>
        <w:rPr>
          <w:sz w:val="20"/>
          <w:szCs w:val="20"/>
        </w:rPr>
      </w:pPr>
      <w:r>
        <w:rPr>
          <w:b/>
          <w:bCs/>
          <w:sz w:val="20"/>
          <w:szCs w:val="20"/>
        </w:rPr>
        <w:t xml:space="preserve">6. Actions à réaliser : </w:t>
      </w:r>
    </w:p>
    <w:p w14:paraId="4273A2DD"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 xml:space="preserve">Déterminer les échantillons et les modes opératoires à utiliser pour les analyses et réaliser les mesurages sur le site Géosciences Montpellier avec ITGA (prestation d’aide à l’échantillonnage, prélèvements en sécurité et analyses) [lithopréparateurs/préventeurs]. </w:t>
      </w:r>
    </w:p>
    <w:p w14:paraId="693BD053"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Contacter AMEXTEO et d’autres agences de formation SS</w:t>
      </w:r>
      <w:proofErr w:type="gramStart"/>
      <w:r>
        <w:rPr>
          <w:sz w:val="20"/>
          <w:szCs w:val="20"/>
        </w:rPr>
        <w:t>4;</w:t>
      </w:r>
      <w:proofErr w:type="gramEnd"/>
      <w:r>
        <w:rPr>
          <w:sz w:val="20"/>
          <w:szCs w:val="20"/>
        </w:rPr>
        <w:t xml:space="preserve"> Voir avec les ISST ou les conseillers de prévention du ministère pour l’aspect formation sur l’amiante environnemental. [Préventeurs] </w:t>
      </w:r>
    </w:p>
    <w:p w14:paraId="36B3EA67" w14:textId="77777777" w:rsidR="00B001B4" w:rsidRDefault="00B001B4" w:rsidP="00B001B4">
      <w:pPr>
        <w:pStyle w:val="Default"/>
        <w:rPr>
          <w:sz w:val="20"/>
          <w:szCs w:val="20"/>
        </w:rPr>
      </w:pPr>
      <w:r>
        <w:rPr>
          <w:rFonts w:ascii="Times New Roman" w:hAnsi="Times New Roman" w:cs="Times New Roman"/>
          <w:sz w:val="20"/>
          <w:szCs w:val="20"/>
        </w:rPr>
        <w:t xml:space="preserve">- </w:t>
      </w:r>
      <w:r>
        <w:rPr>
          <w:sz w:val="20"/>
          <w:szCs w:val="20"/>
        </w:rPr>
        <w:t>Proposer une méthodologie d’évaluation du risque « amiantifère » en s’inspirant du document de l’IFREMER [Géologues]</w:t>
      </w:r>
    </w:p>
    <w:p w14:paraId="2E294ABA" w14:textId="77777777" w:rsidR="00B001B4" w:rsidRDefault="00B001B4" w:rsidP="00B001B4"/>
    <w:sectPr w:rsidR="00B0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B4"/>
    <w:rsid w:val="00B001B4"/>
    <w:rsid w:val="00E85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2D96"/>
  <w15:chartTrackingRefBased/>
  <w15:docId w15:val="{18F71B3D-FB9F-48DC-875F-8936D040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001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1153</Words>
  <Characters>6343</Characters>
  <Application>Microsoft Office Word</Application>
  <DocSecurity>0</DocSecurity>
  <Lines>52</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Le Coz</dc:creator>
  <cp:keywords/>
  <dc:description/>
  <cp:lastModifiedBy>Xavier Le Coz</cp:lastModifiedBy>
  <cp:revision>1</cp:revision>
  <dcterms:created xsi:type="dcterms:W3CDTF">2025-10-31T09:21:00Z</dcterms:created>
  <dcterms:modified xsi:type="dcterms:W3CDTF">2025-10-31T09:25:00Z</dcterms:modified>
</cp:coreProperties>
</file>